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59F6" w14:textId="77777777" w:rsidR="00000000" w:rsidRDefault="00000000">
      <w:pPr>
        <w:rPr>
          <w:rFonts w:ascii="Calibri" w:eastAsia="Calibri" w:hAnsi="Calibri" w:cs="Calibri"/>
          <w:color w:val="000000"/>
        </w:rPr>
      </w:pPr>
      <w:r>
        <w:rPr>
          <w:rFonts w:ascii="Calibri" w:eastAsia="Calibri" w:hAnsi="Calibri" w:cs="Calibri"/>
          <w:color w:val="000000"/>
        </w:rPr>
        <w:t>Autismiliitto ry</w:t>
      </w:r>
    </w:p>
    <w:p w14:paraId="6E150383" w14:textId="77777777" w:rsidR="00000000" w:rsidRDefault="00000000">
      <w:pPr>
        <w:rPr>
          <w:rFonts w:ascii="Calibri" w:eastAsia="Calibri" w:hAnsi="Calibri" w:cs="Calibri"/>
          <w:color w:val="000000"/>
        </w:rPr>
      </w:pPr>
    </w:p>
    <w:p w14:paraId="3734ADEE" w14:textId="5FA1A985" w:rsidR="00000000" w:rsidRDefault="00000000">
      <w:pPr>
        <w:spacing w:after="200"/>
        <w:ind w:firstLine="5000"/>
        <w:rPr>
          <w:rFonts w:ascii="Calibri" w:eastAsia="Calibri" w:hAnsi="Calibri" w:cs="Calibri"/>
          <w:color w:val="000000"/>
        </w:rPr>
      </w:pPr>
      <w:r>
        <w:rPr>
          <w:rFonts w:ascii="Calibri" w:eastAsia="Calibri" w:hAnsi="Calibri" w:cs="Calibri"/>
          <w:color w:val="000000"/>
        </w:rPr>
        <w:t>Lausunto</w:t>
      </w:r>
      <w:r w:rsidR="00136062">
        <w:rPr>
          <w:rFonts w:ascii="Calibri" w:eastAsia="Calibri" w:hAnsi="Calibri" w:cs="Calibri"/>
          <w:color w:val="000000"/>
        </w:rPr>
        <w:t xml:space="preserve"> 9.5.2024</w:t>
      </w:r>
    </w:p>
    <w:p w14:paraId="7B014851" w14:textId="77777777" w:rsidR="00000000" w:rsidRDefault="00000000">
      <w:pPr>
        <w:spacing w:after="200"/>
        <w:ind w:firstLine="5000"/>
        <w:rPr>
          <w:rFonts w:ascii="Calibri" w:eastAsia="Calibri" w:hAnsi="Calibri" w:cs="Calibri"/>
          <w:color w:val="000000"/>
        </w:rPr>
      </w:pPr>
    </w:p>
    <w:p w14:paraId="7B4048DA" w14:textId="77777777" w:rsidR="00000000" w:rsidRDefault="00000000">
      <w:pPr>
        <w:rPr>
          <w:rFonts w:ascii="Calibri" w:eastAsia="Calibri" w:hAnsi="Calibri" w:cs="Calibri"/>
          <w:color w:val="000000"/>
        </w:rPr>
      </w:pPr>
    </w:p>
    <w:p w14:paraId="6C37D618" w14:textId="77777777" w:rsidR="00000000" w:rsidRDefault="00000000">
      <w:pPr>
        <w:rPr>
          <w:rFonts w:ascii="Calibri" w:eastAsia="Calibri" w:hAnsi="Calibri" w:cs="Calibri"/>
          <w:color w:val="000000"/>
        </w:rPr>
      </w:pPr>
    </w:p>
    <w:p w14:paraId="351D3D26" w14:textId="77777777" w:rsidR="00000000" w:rsidRDefault="00000000">
      <w:pPr>
        <w:rPr>
          <w:rFonts w:ascii="Calibri" w:eastAsia="Calibri" w:hAnsi="Calibri" w:cs="Calibri"/>
          <w:color w:val="000000"/>
        </w:rPr>
      </w:pPr>
    </w:p>
    <w:p w14:paraId="3DBF99F8" w14:textId="77777777" w:rsidR="00000000" w:rsidRDefault="00000000">
      <w:pPr>
        <w:rPr>
          <w:rFonts w:ascii="Calibri" w:eastAsia="Calibri" w:hAnsi="Calibri" w:cs="Calibri"/>
          <w:color w:val="000000"/>
        </w:rPr>
      </w:pPr>
    </w:p>
    <w:p w14:paraId="7A829DA6" w14:textId="77777777" w:rsidR="00000000" w:rsidRDefault="00000000">
      <w:pPr>
        <w:rPr>
          <w:rFonts w:ascii="Calibri" w:eastAsia="Calibri" w:hAnsi="Calibri" w:cs="Calibri"/>
          <w:color w:val="000000"/>
        </w:rPr>
      </w:pPr>
      <w:r>
        <w:rPr>
          <w:rFonts w:ascii="Calibri" w:eastAsia="Calibri" w:hAnsi="Calibri" w:cs="Calibri"/>
          <w:color w:val="000000"/>
        </w:rPr>
        <w:t>Asia:  OPH-2397-2024</w:t>
      </w:r>
    </w:p>
    <w:p w14:paraId="7FE6F258" w14:textId="77777777" w:rsidR="00000000" w:rsidRDefault="00000000">
      <w:pPr>
        <w:rPr>
          <w:rFonts w:ascii="Calibri" w:eastAsia="Calibri" w:hAnsi="Calibri" w:cs="Calibri"/>
          <w:color w:val="000000"/>
        </w:rPr>
      </w:pPr>
    </w:p>
    <w:p w14:paraId="59EC22B6" w14:textId="77777777" w:rsidR="00000000" w:rsidRDefault="00000000">
      <w:pPr>
        <w:rPr>
          <w:rFonts w:ascii="Calibri" w:eastAsia="Calibri" w:hAnsi="Calibri" w:cs="Calibri"/>
          <w:b/>
          <w:color w:val="000000"/>
          <w:sz w:val="32"/>
        </w:rPr>
      </w:pPr>
      <w:r>
        <w:rPr>
          <w:rFonts w:ascii="Calibri" w:eastAsia="Calibri" w:hAnsi="Calibri" w:cs="Calibri"/>
          <w:b/>
          <w:color w:val="000000"/>
          <w:sz w:val="32"/>
        </w:rPr>
        <w:t>Lausuntopyyntö opetushallituksen luonnokseen määräyksestä Tutkintokohtaiset terveydentilavaatimukset ammatillisessa koulutuksessa</w:t>
      </w:r>
    </w:p>
    <w:p w14:paraId="52FC8CFD" w14:textId="77777777" w:rsidR="00000000" w:rsidRDefault="00000000">
      <w:pPr>
        <w:rPr>
          <w:rFonts w:ascii="Calibri" w:eastAsia="Calibri" w:hAnsi="Calibri" w:cs="Calibri"/>
          <w:b/>
          <w:color w:val="000000"/>
          <w:sz w:val="32"/>
        </w:rPr>
      </w:pPr>
    </w:p>
    <w:p w14:paraId="3DB99CD4" w14:textId="77777777" w:rsidR="00000000" w:rsidRDefault="00000000">
      <w:pPr>
        <w:spacing w:before="200" w:after="200"/>
        <w:rPr>
          <w:rFonts w:ascii="Calibri" w:eastAsia="Calibri" w:hAnsi="Calibri" w:cs="Calibri"/>
          <w:color w:val="000000"/>
          <w:sz w:val="32"/>
        </w:rPr>
      </w:pPr>
      <w:r>
        <w:rPr>
          <w:rFonts w:ascii="Calibri" w:eastAsia="Calibri" w:hAnsi="Calibri" w:cs="Calibri"/>
          <w:color w:val="000000"/>
          <w:sz w:val="32"/>
        </w:rPr>
        <w:t>Lausunnonantajan lausunto</w:t>
      </w:r>
    </w:p>
    <w:p w14:paraId="14C23F78"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Voitte kirjoittaa lausuntonne alla olevaan tekstikenttään</w:t>
      </w:r>
    </w:p>
    <w:p w14:paraId="7B0998E2"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Autismiliitto katsoo, että johdantotekstiin tulisi lisätä maininta yhdenvertaisuuslaista ja koulutuksen järjestäjän velvollisuudesta toteuttaa vammaisen opiskelijan tarvitsemat kohtuulliset mukautukset. Myös YK:n vammaissopimuksen artikla 24 korostaa vammaisen lapsen ja nuoren oikeutta saada opetusta yleisessä koulutusjärjestelmässä yhdenvertaisesti muiden kanssa ja saada siihen tarvitsemansa yksilöllinen tuki ja kohtuulliset mukautukset.  </w:t>
      </w:r>
    </w:p>
    <w:p w14:paraId="09A52B23" w14:textId="59F6ADDC"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Johdantoteksti ei ele riittävän selkeä eikä ymmärrettävä. Siitä ei esimerkiksi selviä, mitä esitetyillä toimintarajoitteilla käytännössä tarkoitetaan suhteessa opiskeluun ja työhön ja miten opiskelijan toimintakykyä käytännössä arvioidaan. Jo johdantotekstissä tulee korostaa, että opiskelijan toimintakykyä tulee aina arvioida yksilöllisesti suhteessa työtehtäviin ja mahdollisuuksiin tukea hänen opiskelu- ja työkykyään kohtuullisilla mukautuksilla ja tukitoimilla.</w:t>
      </w:r>
    </w:p>
    <w:p w14:paraId="319CC5DD" w14:textId="7BF5F42A"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Yhdymme Vammaisfoorumin näkemykseen, että </w:t>
      </w:r>
      <w:r w:rsidR="00851EBA">
        <w:rPr>
          <w:rFonts w:ascii="Calibri" w:eastAsia="Calibri" w:hAnsi="Calibri" w:cs="Calibri"/>
          <w:color w:val="000000"/>
        </w:rPr>
        <w:t>määräyksessä</w:t>
      </w:r>
      <w:r>
        <w:rPr>
          <w:rFonts w:ascii="Calibri" w:eastAsia="Calibri" w:hAnsi="Calibri" w:cs="Calibri"/>
          <w:color w:val="000000"/>
        </w:rPr>
        <w:t xml:space="preserve"> esitetyt laajat ja kategoriset tutkintokohtaiset rajoitukset ovat syrjiviä ja vaarantavat yhdenvertaisuuden toteutumisen. Ehdotetut rajoitukset, kuten esimerkiksi "kommunikointia ja sosiaalista vuorovaikutusta vaikeuttava toimintakyvyn häiriö”, mahdollistavat opiskeluoikeuden epäämisen pelkän vammaisuuden perusteella selvittämättä henkilön yksilöllistä toimintakykyä ja kohtuullisten mukautusten ja erilaisten tukitoimien vaikutusta opiskelu- ja työmahdollisuuksiin. Ehdotetut määräykset rajoittaisivat merkittävästi myös autismikirjon nuorten oikeutta opiskeluun, mikä olisi sekä YK:n vammaissopimuksen että nykyisen hallituksen työllisyyslinjausten vastaista. </w:t>
      </w:r>
    </w:p>
    <w:p w14:paraId="665F805B"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Voitte kirjoittaa lausuntonne alla olevaan tekstikenttään</w:t>
      </w:r>
    </w:p>
    <w:p w14:paraId="78CC116D" w14:textId="3879C654"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Autismiliitto on hyvin huolissaan siitä, että määräyksiin on tullut uutena oppilaaksi ottamisen esteenä ”kommunikointia ja sosiaalista vuorovaikutusta vaikeuttava toimintakyvyn häiriö” peräti 22:een tutkintoon. Autismiliitto vaatii, että kommunikointiin ja sosiaaliseen vuorovaikutukseen liittyvät vaatimukset poistetaan kokonaan syrjivänä. Vähintäänkin niitä tulee tarkentaa ja rajata vain vaikeimpiin haasteisiin esimerkiksi seuraava</w:t>
      </w:r>
      <w:r w:rsidR="009C1AC6">
        <w:rPr>
          <w:rFonts w:ascii="Calibri" w:eastAsia="Calibri" w:hAnsi="Calibri" w:cs="Calibri"/>
          <w:color w:val="000000"/>
        </w:rPr>
        <w:t>sti</w:t>
      </w:r>
      <w:r>
        <w:rPr>
          <w:rFonts w:ascii="Calibri" w:eastAsia="Calibri" w:hAnsi="Calibri" w:cs="Calibri"/>
          <w:color w:val="000000"/>
        </w:rPr>
        <w:t xml:space="preserve">: merkittävät kommunikointiin ja sosiaaliseen vuorovaikutukseen liittyvät haasteet, jotka rajoittavat toimintakykyä käytännön työtehtävissä. </w:t>
      </w:r>
      <w:r>
        <w:rPr>
          <w:rFonts w:ascii="Calibri" w:eastAsia="Calibri" w:hAnsi="Calibri" w:cs="Calibri"/>
          <w:color w:val="000000"/>
        </w:rPr>
        <w:lastRenderedPageBreak/>
        <w:t xml:space="preserve">Esimerkiksi mielenterveyden ongelmiin liittyvät haasteet on määräyksessä </w:t>
      </w:r>
      <w:r w:rsidR="00851EBA">
        <w:rPr>
          <w:rFonts w:ascii="Calibri" w:eastAsia="Calibri" w:hAnsi="Calibri" w:cs="Calibri"/>
          <w:color w:val="000000"/>
        </w:rPr>
        <w:t xml:space="preserve">rajattu </w:t>
      </w:r>
      <w:r>
        <w:rPr>
          <w:rFonts w:ascii="Calibri" w:eastAsia="Calibri" w:hAnsi="Calibri" w:cs="Calibri"/>
          <w:color w:val="000000"/>
        </w:rPr>
        <w:t>vastaavanlaisesti</w:t>
      </w:r>
      <w:r w:rsidR="00670E7B">
        <w:rPr>
          <w:rFonts w:ascii="Calibri" w:eastAsia="Calibri" w:hAnsi="Calibri" w:cs="Calibri"/>
          <w:color w:val="000000"/>
        </w:rPr>
        <w:t xml:space="preserve"> vain vaikeimpiin haasteisiin</w:t>
      </w:r>
      <w:r>
        <w:rPr>
          <w:rFonts w:ascii="Calibri" w:eastAsia="Calibri" w:hAnsi="Calibri" w:cs="Calibri"/>
          <w:color w:val="000000"/>
        </w:rPr>
        <w:t xml:space="preserve">.   </w:t>
      </w:r>
    </w:p>
    <w:p w14:paraId="7CAB4180" w14:textId="380B87D5" w:rsidR="00000000" w:rsidRDefault="00851EBA">
      <w:pPr>
        <w:spacing w:before="200" w:after="200"/>
        <w:ind w:left="800"/>
        <w:rPr>
          <w:rFonts w:ascii="Calibri" w:eastAsia="Calibri" w:hAnsi="Calibri" w:cs="Calibri"/>
          <w:color w:val="000000"/>
        </w:rPr>
      </w:pPr>
      <w:r>
        <w:rPr>
          <w:rFonts w:ascii="Calibri" w:eastAsia="Calibri" w:hAnsi="Calibri" w:cs="Calibri"/>
          <w:color w:val="000000"/>
        </w:rPr>
        <w:t>Määräysluonnoksessa esitetyt</w:t>
      </w:r>
      <w:r w:rsidR="00000000">
        <w:rPr>
          <w:rFonts w:ascii="Calibri" w:eastAsia="Calibri" w:hAnsi="Calibri" w:cs="Calibri"/>
          <w:color w:val="000000"/>
        </w:rPr>
        <w:t xml:space="preserve"> laajat kommunikointiin ja sosiaaliseen vuorovaikutukseen liittyvät kategoriset ja yleisluonteiset rajaukset ovat kohtuuttomia ja perusteettomia, koska sosiaalinen toimintakyky ilmenee aina hyvin yksilöllisesti ja se pitää myös arvioida yksilöllisesti suhteessa työtehtäviin ja mahdollisuuksiin tukea henkilön opiskelu- ja työkykyä kohtuullisilla mukautuksilla ja tukitoimilla. Näin voimakas rajaus, joka kategorisesti estäisi tiettyjen vammaryhmien kuten esim. autismikirjon ihmisten pääsyn jatkossa moniin koulutuksiin on syrjivä, eikä se ole linjassa nykyisen lainsäädännön (mm. yhdenvertaisuuslaki ja YK:n yleissopimus vammaisten henkilöiden oikeuksista) eikä myöskään hallituksen osa- ja </w:t>
      </w:r>
      <w:proofErr w:type="spellStart"/>
      <w:r w:rsidR="00000000">
        <w:rPr>
          <w:rFonts w:ascii="Calibri" w:eastAsia="Calibri" w:hAnsi="Calibri" w:cs="Calibri"/>
          <w:color w:val="000000"/>
        </w:rPr>
        <w:t>täsmätyökykyisten</w:t>
      </w:r>
      <w:proofErr w:type="spellEnd"/>
      <w:r w:rsidR="00000000">
        <w:rPr>
          <w:rFonts w:ascii="Calibri" w:eastAsia="Calibri" w:hAnsi="Calibri" w:cs="Calibri"/>
          <w:color w:val="000000"/>
        </w:rPr>
        <w:t xml:space="preserve"> työllistymiseen liittyvien tavoitteiden kanssa. Yksilöllinen toimintakyvyn arviointi suhteessa työtehtäviin on tärkeää, koska työtehtävät voivat vaihdella paljon saman alan sisälläkin. Rajattaviksi ehdotetuilla aloilla työskentelee käytännössä nykyäänkin autismikirjon henkilöitä. Esimerkiksi hoito-, kasvatus- ja vammaisalalla voi olla hyötyä siitä, että opiskelijalla on vammaisuuden ja toimintarajoitteiden osaamista ja omakohtaiseen kokemukseen perustuvaa ymmärrystä toimintarajoitteista ja vammaisuudesta. </w:t>
      </w:r>
    </w:p>
    <w:p w14:paraId="0984D3BB"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Autismikirjon ihmisillä on paljon vahvuuksia, joista on työelämässä hyötyä. Monilla heistä on hyvä keskittymiskyky ja kyky kiinnittää huomio olennaiseen, huomata virheitä sekä ratkaista monimutkaisiakin ongelmia. Heillä on myös korkea työmoraali ja vahva sitoutuminen sääntöihin. Osalla heistä voi olla erityisiä mielenkiinnon kohteita ja niihin saattaa liittyä poikkeuksellista osaamista. Suurin osa autismikirjon ihmisistä on älykkyydeltään ja kielellisiltä kyvyiltään normaalilla tasolla ja heillä on hyvät akateemiset taidot. (ks. </w:t>
      </w:r>
      <w:proofErr w:type="spellStart"/>
      <w:r>
        <w:rPr>
          <w:rFonts w:ascii="Calibri" w:eastAsia="Calibri" w:hAnsi="Calibri" w:cs="Calibri"/>
          <w:color w:val="000000"/>
        </w:rPr>
        <w:t>Vates</w:t>
      </w:r>
      <w:proofErr w:type="spellEnd"/>
      <w:r>
        <w:rPr>
          <w:rFonts w:ascii="Calibri" w:eastAsia="Calibri" w:hAnsi="Calibri" w:cs="Calibri"/>
          <w:color w:val="000000"/>
        </w:rPr>
        <w:t xml:space="preserve"> 2020: Autismikirjo ja työ https://autismiliitto.fi/wp-content/uploads/2021/11/Vates_Autismikirjo_ja_tyo_digi.pdf)</w:t>
      </w:r>
    </w:p>
    <w:p w14:paraId="47BB5A0A" w14:textId="77777777" w:rsidR="00000000" w:rsidRDefault="00000000">
      <w:pPr>
        <w:spacing w:before="200" w:after="200"/>
        <w:rPr>
          <w:rFonts w:ascii="Calibri" w:eastAsia="Calibri" w:hAnsi="Calibri" w:cs="Calibri"/>
          <w:b/>
          <w:color w:val="000000"/>
        </w:rPr>
      </w:pPr>
      <w:r>
        <w:rPr>
          <w:rFonts w:ascii="Calibri" w:eastAsia="Calibri" w:hAnsi="Calibri" w:cs="Calibri"/>
          <w:b/>
          <w:color w:val="000000"/>
        </w:rPr>
        <w:t>Voitte kirjoittaa huomionne alla olevaan tekstikenttään</w:t>
      </w:r>
    </w:p>
    <w:p w14:paraId="797A18CE" w14:textId="77777777"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Autismiliittoon tulleiden yhteydenottojen perusteella vaikuttaa siltä, että oppilaitoksista puuttuu osaamista niin autismikirjosta, kohtuullisista mukautuksista kuin SORA-lainsäädännöstäkin. Koulutuksen järjestäjän velvollisuutta järjestää opiskelijan tarvitsemat kohtuulliset mukautukset tulisi painottaa opetushallituksen terveydentilavaatimuksia koskevassa ohjeistuksessa ja koulutuksissa. Myös SORA-säädöksistä ja niiden tulkinnasta tarvitaan koulutusta ja tarkempaa ohjeistusta kentälle, etenkin nyt kun lainsäädäntö uudistuu. Koulutuksella ja ohjauksella tulee varmistaa lain yhdenmukainen tulkinta ja sitä kautta opiskelijoiden yhdenvertainen kohtelu. </w:t>
      </w:r>
    </w:p>
    <w:p w14:paraId="6A5C846A" w14:textId="0F9ABA68" w:rsidR="00000000" w:rsidRDefault="00000000">
      <w:pPr>
        <w:spacing w:before="200" w:after="200"/>
        <w:ind w:left="800"/>
        <w:rPr>
          <w:rFonts w:ascii="Calibri" w:eastAsia="Calibri" w:hAnsi="Calibri" w:cs="Calibri"/>
          <w:color w:val="000000"/>
        </w:rPr>
      </w:pPr>
      <w:r>
        <w:rPr>
          <w:rFonts w:ascii="Calibri" w:eastAsia="Calibri" w:hAnsi="Calibri" w:cs="Calibri"/>
          <w:color w:val="000000"/>
        </w:rPr>
        <w:t xml:space="preserve">Yhdymme Vammaisfoorumin huomautukseen, että </w:t>
      </w:r>
      <w:r w:rsidR="00136062">
        <w:rPr>
          <w:rFonts w:ascii="Calibri" w:eastAsia="Calibri" w:hAnsi="Calibri" w:cs="Calibri"/>
          <w:color w:val="000000"/>
        </w:rPr>
        <w:t>SORA-säännökset</w:t>
      </w:r>
      <w:r>
        <w:rPr>
          <w:rFonts w:ascii="Calibri" w:eastAsia="Calibri" w:hAnsi="Calibri" w:cs="Calibri"/>
          <w:color w:val="000000"/>
        </w:rPr>
        <w:t xml:space="preserve"> on säädetty ennen YK:n vammaissopimuksen voimaantuloa, eivätkä ne vastaa sopimuksen sisältöä. </w:t>
      </w:r>
    </w:p>
    <w:p w14:paraId="070B1B2B" w14:textId="77777777" w:rsidR="00000000" w:rsidRDefault="00000000">
      <w:pPr>
        <w:spacing w:before="200" w:after="200"/>
        <w:rPr>
          <w:rFonts w:ascii="Calibri" w:eastAsia="Calibri" w:hAnsi="Calibri" w:cs="Calibri"/>
          <w:color w:val="000000"/>
        </w:rPr>
      </w:pPr>
    </w:p>
    <w:p w14:paraId="501DF572" w14:textId="77777777" w:rsidR="00000000" w:rsidRDefault="00000000">
      <w:pPr>
        <w:spacing w:before="200" w:after="200"/>
        <w:rPr>
          <w:rFonts w:ascii="Calibri" w:eastAsia="Calibri" w:hAnsi="Calibri" w:cs="Calibri"/>
          <w:color w:val="000000"/>
        </w:rPr>
      </w:pPr>
    </w:p>
    <w:p w14:paraId="285DF26E" w14:textId="77777777" w:rsidR="00000000" w:rsidRDefault="00000000">
      <w:pPr>
        <w:ind w:left="3200"/>
        <w:rPr>
          <w:rFonts w:ascii="Calibri" w:eastAsia="Calibri" w:hAnsi="Calibri" w:cs="Calibri"/>
          <w:color w:val="000000"/>
        </w:rPr>
      </w:pPr>
      <w:r>
        <w:rPr>
          <w:rFonts w:ascii="Calibri" w:eastAsia="Calibri" w:hAnsi="Calibri" w:cs="Calibri"/>
          <w:color w:val="000000"/>
        </w:rPr>
        <w:t>Valjakka Sari</w:t>
      </w:r>
    </w:p>
    <w:p w14:paraId="372A1B89" w14:textId="77777777" w:rsidR="00000000" w:rsidRDefault="00000000">
      <w:pPr>
        <w:ind w:left="3200"/>
        <w:rPr>
          <w:rFonts w:ascii="Calibri" w:eastAsia="Calibri" w:hAnsi="Calibri" w:cs="Calibri"/>
          <w:color w:val="000000"/>
        </w:rPr>
      </w:pPr>
      <w:r>
        <w:rPr>
          <w:rFonts w:ascii="Calibri" w:eastAsia="Calibri" w:hAnsi="Calibri" w:cs="Calibri"/>
          <w:color w:val="000000"/>
        </w:rPr>
        <w:t>Autismiliitto ry</w:t>
      </w:r>
    </w:p>
    <w:p w14:paraId="656F2BBC" w14:textId="77777777" w:rsidR="00000000" w:rsidRDefault="00000000">
      <w:pPr>
        <w:rPr>
          <w:rFonts w:ascii="Calibri" w:eastAsia="Calibri" w:hAnsi="Calibri" w:cs="Calibri"/>
          <w:color w:val="000000"/>
        </w:rPr>
      </w:pPr>
    </w:p>
    <w:sectPr w:rsidR="00A77B3E">
      <w:footerReference w:type="default" r:id="rId9"/>
      <w:pgSz w:w="12240" w:h="15840"/>
      <w:pgMar w:top="800" w:right="800" w:bottom="0" w:left="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69D1F" w14:textId="77777777" w:rsidR="00232287" w:rsidRDefault="00232287">
      <w:r>
        <w:separator/>
      </w:r>
    </w:p>
  </w:endnote>
  <w:endnote w:type="continuationSeparator" w:id="0">
    <w:p w14:paraId="50A40226" w14:textId="77777777" w:rsidR="00232287" w:rsidRDefault="0023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8CCA" w14:textId="77777777" w:rsidR="000B3E9F" w:rsidRDefault="000B3E9F"/>
  <w:tbl>
    <w:tblPr>
      <w:tblW w:w="5000" w:type="pct"/>
      <w:tblLook w:val="04A0" w:firstRow="1" w:lastRow="0" w:firstColumn="1" w:lastColumn="0" w:noHBand="0" w:noVBand="1"/>
    </w:tblPr>
    <w:tblGrid>
      <w:gridCol w:w="3546"/>
      <w:gridCol w:w="3547"/>
      <w:gridCol w:w="3547"/>
    </w:tblGrid>
    <w:tr w:rsidR="000B3E9F" w14:paraId="7E9266E6" w14:textId="77777777">
      <w:tc>
        <w:tcPr>
          <w:tcW w:w="1650" w:type="pct"/>
        </w:tcPr>
        <w:p w14:paraId="1EBB0B2F" w14:textId="77777777" w:rsidR="000B3E9F" w:rsidRDefault="000B3E9F"/>
      </w:tc>
      <w:tc>
        <w:tcPr>
          <w:tcW w:w="1650" w:type="pct"/>
        </w:tcPr>
        <w:p w14:paraId="08A8CFD6" w14:textId="77777777" w:rsidR="000B3E9F" w:rsidRDefault="00000000">
          <w:pPr>
            <w:jc w:val="center"/>
            <w:rPr>
              <w:rFonts w:ascii="Arial" w:eastAsia="Arial" w:hAnsi="Arial" w:cs="Arial"/>
              <w:color w:val="000000"/>
            </w:rPr>
          </w:pPr>
          <w:r>
            <w:rPr>
              <w:rFonts w:ascii="Arial" w:eastAsia="Arial" w:hAnsi="Arial" w:cs="Arial"/>
              <w:sz w:val="20"/>
            </w:rPr>
            <w:t>Lausuntopalvelu.fi</w:t>
          </w:r>
        </w:p>
      </w:tc>
      <w:tc>
        <w:tcPr>
          <w:tcW w:w="1650" w:type="pct"/>
        </w:tcPr>
        <w:p w14:paraId="4F39FC57" w14:textId="77777777" w:rsidR="000B3E9F" w:rsidRDefault="00000000">
          <w:pP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t>3</w:t>
          </w:r>
          <w:r>
            <w:rPr>
              <w:rFonts w:ascii="Arial" w:eastAsia="Arial" w:hAnsi="Arial" w:cs="Arial"/>
              <w:color w:val="000000"/>
            </w:rPr>
            <w:fldChar w:fldCharType="end"/>
          </w:r>
          <w:r>
            <w:rPr>
              <w:rFonts w:ascii="Arial" w:eastAsia="Arial" w:hAnsi="Arial" w:cs="Arial"/>
              <w:color w:val="000000"/>
            </w:rPr>
            <w:t>/</w:t>
          </w:r>
          <w:r>
            <w:rPr>
              <w:rFonts w:ascii="Arial" w:eastAsia="Arial" w:hAnsi="Arial" w:cs="Arial"/>
              <w:color w:val="000000"/>
            </w:rPr>
            <w:fldChar w:fldCharType="begin"/>
          </w:r>
          <w:r>
            <w:rPr>
              <w:rFonts w:ascii="Arial" w:eastAsia="Arial" w:hAnsi="Arial" w:cs="Arial"/>
              <w:color w:val="000000"/>
            </w:rPr>
            <w:instrText>NUMPAGES</w:instrText>
          </w:r>
          <w:r>
            <w:rPr>
              <w:rFonts w:ascii="Arial" w:eastAsia="Arial" w:hAnsi="Arial" w:cs="Arial"/>
              <w:color w:val="000000"/>
            </w:rPr>
            <w:fldChar w:fldCharType="separate"/>
          </w:r>
          <w:r>
            <w:rPr>
              <w:rFonts w:ascii="Arial" w:eastAsia="Arial" w:hAnsi="Arial" w:cs="Arial"/>
              <w:color w:val="000000"/>
            </w:rPr>
            <w:t>3</w:t>
          </w:r>
          <w:r>
            <w:rPr>
              <w:rFonts w:ascii="Arial" w:eastAsia="Arial" w:hAnsi="Arial" w:cs="Arial"/>
              <w:color w:val="000000"/>
            </w:rPr>
            <w:fldChar w:fldCharType="end"/>
          </w:r>
        </w:p>
      </w:tc>
    </w:tr>
  </w:tbl>
  <w:p w14:paraId="518288D4" w14:textId="77777777" w:rsidR="000B3E9F" w:rsidRDefault="000B3E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45507" w14:textId="77777777" w:rsidR="00232287" w:rsidRDefault="00232287">
      <w:r>
        <w:separator/>
      </w:r>
    </w:p>
  </w:footnote>
  <w:footnote w:type="continuationSeparator" w:id="0">
    <w:p w14:paraId="522C2FD2" w14:textId="77777777" w:rsidR="00232287" w:rsidRDefault="00232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9F"/>
    <w:rsid w:val="000B3E9F"/>
    <w:rsid w:val="00136062"/>
    <w:rsid w:val="00232287"/>
    <w:rsid w:val="00670E7B"/>
    <w:rsid w:val="00851EBA"/>
    <w:rsid w:val="009C1AC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70E4A"/>
  <w15:docId w15:val="{98527CCD-7E6A-4DA1-B0B3-F85C8C24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9635F4CEEBB734BA00BF2A715E3117A" ma:contentTypeVersion="18" ma:contentTypeDescription="Luo uusi asiakirja." ma:contentTypeScope="" ma:versionID="75367d28c4e0e025eca616691505e55a">
  <xsd:schema xmlns:xsd="http://www.w3.org/2001/XMLSchema" xmlns:xs="http://www.w3.org/2001/XMLSchema" xmlns:p="http://schemas.microsoft.com/office/2006/metadata/properties" xmlns:ns2="de5037b9-8a8f-47f6-991f-e44e3e9869ee" xmlns:ns3="3150cb1f-6521-4aca-b78a-e6e70a6a8783" targetNamespace="http://schemas.microsoft.com/office/2006/metadata/properties" ma:root="true" ma:fieldsID="314eacec31198a29bed35fc4ff4b20c1" ns2:_="" ns3:_="">
    <xsd:import namespace="de5037b9-8a8f-47f6-991f-e44e3e9869ee"/>
    <xsd:import namespace="3150cb1f-6521-4aca-b78a-e6e70a6a87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37b9-8a8f-47f6-991f-e44e3e9869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656d9b3-95a5-4c17-869d-68a175ab90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50cb1f-6521-4aca-b78a-e6e70a6a8783"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3ce2bfef-bea6-4d63-a0e8-d828a54d5ba6}" ma:internalName="TaxCatchAll" ma:showField="CatchAllData" ma:web="3150cb1f-6521-4aca-b78a-e6e70a6a8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5037b9-8a8f-47f6-991f-e44e3e9869ee">
      <Terms xmlns="http://schemas.microsoft.com/office/infopath/2007/PartnerControls"/>
    </lcf76f155ced4ddcb4097134ff3c332f>
    <TaxCatchAll xmlns="3150cb1f-6521-4aca-b78a-e6e70a6a8783" xsi:nil="true"/>
  </documentManagement>
</p:properties>
</file>

<file path=customXml/itemProps1.xml><?xml version="1.0" encoding="utf-8"?>
<ds:datastoreItem xmlns:ds="http://schemas.openxmlformats.org/officeDocument/2006/customXml" ds:itemID="{485290DD-E53D-47DA-97D3-EC760F213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037b9-8a8f-47f6-991f-e44e3e9869ee"/>
    <ds:schemaRef ds:uri="3150cb1f-6521-4aca-b78a-e6e70a6a8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000BE-FA55-4786-AC20-821D5B52B49B}">
  <ds:schemaRefs>
    <ds:schemaRef ds:uri="http://schemas.microsoft.com/sharepoint/v3/contenttype/forms"/>
  </ds:schemaRefs>
</ds:datastoreItem>
</file>

<file path=customXml/itemProps3.xml><?xml version="1.0" encoding="utf-8"?>
<ds:datastoreItem xmlns:ds="http://schemas.openxmlformats.org/officeDocument/2006/customXml" ds:itemID="{E5B08E3E-B8F9-4260-948C-B5208500FF97}">
  <ds:schemaRefs>
    <ds:schemaRef ds:uri="http://schemas.microsoft.com/office/2006/metadata/properties"/>
    <ds:schemaRef ds:uri="http://schemas.microsoft.com/office/infopath/2007/PartnerControls"/>
    <ds:schemaRef ds:uri="de5037b9-8a8f-47f6-991f-e44e3e9869ee"/>
    <ds:schemaRef ds:uri="3150cb1f-6521-4aca-b78a-e6e70a6a878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603</Words>
  <Characters>4888</Characters>
  <Application>Microsoft Office Word</Application>
  <DocSecurity>0</DocSecurity>
  <Lines>40</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Sari Valjakka</dc:creator>
  <cp:lastModifiedBy>Sari Valjakka</cp:lastModifiedBy>
  <cp:revision>3</cp:revision>
  <dcterms:created xsi:type="dcterms:W3CDTF">2024-05-09T12:25:00Z</dcterms:created>
  <dcterms:modified xsi:type="dcterms:W3CDTF">2024-05-09T12:29:00Z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0x010100D9635F4CEEBB734BA00BF2A715E3117A</vt:lpwstr>
  </property>
  <property fmtid="{D5CDD505-2E9C-101B-9397-08002B2CF9AE}" pid="3" name="MediaServiceImageTags">
    <vt:lpwstr/>
  </property>
</Properties>
</file>